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821C" w14:textId="77777777" w:rsidR="008E0C78" w:rsidRPr="008E0C78" w:rsidRDefault="008E0C78" w:rsidP="008E0C78">
      <w:pPr>
        <w:rPr>
          <w:b/>
          <w:bCs/>
        </w:rPr>
      </w:pPr>
      <w:r w:rsidRPr="008E0C78">
        <w:rPr>
          <w:b/>
          <w:bCs/>
        </w:rPr>
        <w:t>PARISH BRIEFING NOTE: LOCAL GOVERNMENT REFORM &amp; DEVOLUTION</w:t>
      </w:r>
    </w:p>
    <w:p w14:paraId="2FEB48DC" w14:textId="77777777" w:rsidR="008E0C78" w:rsidRPr="008E0C78" w:rsidRDefault="008E0C78" w:rsidP="008E0C78">
      <w:pPr>
        <w:rPr>
          <w:b/>
          <w:bCs/>
        </w:rPr>
      </w:pPr>
    </w:p>
    <w:p w14:paraId="7056EDD8" w14:textId="77777777" w:rsidR="008E0C78" w:rsidRPr="008E0C78" w:rsidRDefault="008E0C78" w:rsidP="008E0C78">
      <w:r w:rsidRPr="008E0C78">
        <w:rPr>
          <w:b/>
          <w:bCs/>
        </w:rPr>
        <w:t>March 2025 Update</w:t>
      </w:r>
    </w:p>
    <w:p w14:paraId="51EF7413" w14:textId="77777777" w:rsidR="008E0C78" w:rsidRPr="008E0C78" w:rsidRDefault="008E0C78" w:rsidP="008E0C78"/>
    <w:p w14:paraId="6A44D970" w14:textId="77777777" w:rsidR="008E0C78" w:rsidRPr="008E0C78" w:rsidRDefault="008E0C78" w:rsidP="008E0C78">
      <w:pPr>
        <w:rPr>
          <w:b/>
          <w:bCs/>
        </w:rPr>
      </w:pPr>
      <w:r w:rsidRPr="008E0C78">
        <w:rPr>
          <w:b/>
          <w:bCs/>
        </w:rPr>
        <w:t xml:space="preserve">Background </w:t>
      </w:r>
    </w:p>
    <w:p w14:paraId="6E568409" w14:textId="77777777" w:rsidR="008E0C78" w:rsidRPr="008E0C78" w:rsidRDefault="008E0C78" w:rsidP="008E0C78"/>
    <w:p w14:paraId="0814521F" w14:textId="77777777" w:rsidR="008E0C78" w:rsidRPr="008E0C78" w:rsidRDefault="008E0C78" w:rsidP="008E0C78">
      <w:pPr>
        <w:numPr>
          <w:ilvl w:val="0"/>
          <w:numId w:val="1"/>
        </w:numPr>
      </w:pPr>
      <w:r w:rsidRPr="008E0C78">
        <w:t>The Government published its ‘</w:t>
      </w:r>
      <w:hyperlink r:id="rId5" w:history="1">
        <w:r w:rsidRPr="008E0C78">
          <w:rPr>
            <w:rStyle w:val="Hyperlink"/>
          </w:rPr>
          <w:t>English Devolution White Paper</w:t>
        </w:r>
      </w:hyperlink>
      <w:r w:rsidRPr="008E0C78">
        <w:t>’ in Dec. 2024, which promoted the establishment of new regional areas of 1.5m+ population under new Mayors and Local Government Reorganisation (LGR) (i.e. the merger of Councils, particularly in two-tier areas, to create new Unitary Authorities). The Government have stated they want to see universal coverage of both LGR and “Devolution” across the country as quickly as possible.</w:t>
      </w:r>
    </w:p>
    <w:p w14:paraId="0E9F24B0" w14:textId="77777777" w:rsidR="008E0C78" w:rsidRPr="008E0C78" w:rsidRDefault="008E0C78" w:rsidP="008E0C78"/>
    <w:p w14:paraId="0A4F3AF9" w14:textId="77777777" w:rsidR="008E0C78" w:rsidRPr="008E0C78" w:rsidRDefault="008E0C78" w:rsidP="008E0C78">
      <w:pPr>
        <w:numPr>
          <w:ilvl w:val="0"/>
          <w:numId w:val="1"/>
        </w:numPr>
      </w:pPr>
      <w:r w:rsidRPr="008E0C78">
        <w:t xml:space="preserve">Whilst some of these concepts have been around for decades, the rapid launch of an LGR policy is not something Local Government had been preparing for, with the first hint only coming in the Oct 24 Budget which promised a move to simpler structures. </w:t>
      </w:r>
    </w:p>
    <w:p w14:paraId="1C961D6E" w14:textId="77777777" w:rsidR="008E0C78" w:rsidRPr="008E0C78" w:rsidRDefault="008E0C78" w:rsidP="008E0C78"/>
    <w:p w14:paraId="45F3B690" w14:textId="77777777" w:rsidR="008E0C78" w:rsidRPr="008E0C78" w:rsidRDefault="008E0C78" w:rsidP="008E0C78">
      <w:pPr>
        <w:numPr>
          <w:ilvl w:val="0"/>
          <w:numId w:val="1"/>
        </w:numPr>
      </w:pPr>
      <w:r w:rsidRPr="008E0C78">
        <w:t xml:space="preserve">Under the proposals, all the Norfolk and Suffolk District and County Councils will be abolished and merged into new Unitary Authorities, which serve (probably) about 300,000 to 500,000 residents, working within the wider new regional area under a new Strategic Authority lead by a new Mayor. </w:t>
      </w:r>
    </w:p>
    <w:p w14:paraId="31AF9598" w14:textId="77777777" w:rsidR="008E0C78" w:rsidRPr="008E0C78" w:rsidRDefault="008E0C78" w:rsidP="008E0C78"/>
    <w:p w14:paraId="380AB58C" w14:textId="77777777" w:rsidR="008E0C78" w:rsidRPr="008E0C78" w:rsidRDefault="008E0C78" w:rsidP="008E0C78">
      <w:pPr>
        <w:numPr>
          <w:ilvl w:val="0"/>
          <w:numId w:val="1"/>
        </w:numPr>
      </w:pPr>
      <w:r w:rsidRPr="008E0C78">
        <w:t xml:space="preserve">The responsibilities of the District and County Councils will be moved to: </w:t>
      </w:r>
    </w:p>
    <w:p w14:paraId="0DE380B9" w14:textId="77777777" w:rsidR="008E0C78" w:rsidRPr="008E0C78" w:rsidRDefault="008E0C78" w:rsidP="008E0C78"/>
    <w:tbl>
      <w:tblPr>
        <w:tblW w:w="5000" w:type="pct"/>
        <w:tblCellMar>
          <w:left w:w="0" w:type="dxa"/>
          <w:right w:w="0" w:type="dxa"/>
        </w:tblCellMar>
        <w:tblLook w:val="04A0" w:firstRow="1" w:lastRow="0" w:firstColumn="1" w:lastColumn="0" w:noHBand="0" w:noVBand="1"/>
      </w:tblPr>
      <w:tblGrid>
        <w:gridCol w:w="4503"/>
        <w:gridCol w:w="4503"/>
      </w:tblGrid>
      <w:tr w:rsidR="008E0C78" w:rsidRPr="008E0C78" w14:paraId="13A44766" w14:textId="77777777" w:rsidTr="008E0C78">
        <w:tc>
          <w:tcPr>
            <w:tcW w:w="2500" w:type="pct"/>
            <w:tcBorders>
              <w:top w:val="single" w:sz="8" w:space="0" w:color="auto"/>
              <w:left w:val="single" w:sz="8" w:space="0" w:color="auto"/>
              <w:bottom w:val="single" w:sz="8" w:space="0" w:color="auto"/>
              <w:right w:val="single" w:sz="8" w:space="0" w:color="auto"/>
            </w:tcBorders>
            <w:shd w:val="clear" w:color="auto" w:fill="D9F2D0"/>
            <w:tcMar>
              <w:top w:w="0" w:type="dxa"/>
              <w:left w:w="108" w:type="dxa"/>
              <w:bottom w:w="0" w:type="dxa"/>
              <w:right w:w="108" w:type="dxa"/>
            </w:tcMar>
            <w:hideMark/>
          </w:tcPr>
          <w:p w14:paraId="6BCDE9E8" w14:textId="77777777" w:rsidR="008E0C78" w:rsidRPr="008E0C78" w:rsidRDefault="008E0C78" w:rsidP="008E0C78">
            <w:r w:rsidRPr="008E0C78">
              <w:t>Unitary Authority</w:t>
            </w:r>
          </w:p>
        </w:tc>
        <w:tc>
          <w:tcPr>
            <w:tcW w:w="2500" w:type="pct"/>
            <w:tcBorders>
              <w:top w:val="single" w:sz="8" w:space="0" w:color="auto"/>
              <w:left w:val="nil"/>
              <w:bottom w:val="single" w:sz="8" w:space="0" w:color="auto"/>
              <w:right w:val="single" w:sz="8" w:space="0" w:color="auto"/>
            </w:tcBorders>
            <w:shd w:val="clear" w:color="auto" w:fill="D9F2D0"/>
            <w:tcMar>
              <w:top w:w="0" w:type="dxa"/>
              <w:left w:w="108" w:type="dxa"/>
              <w:bottom w:w="0" w:type="dxa"/>
              <w:right w:w="108" w:type="dxa"/>
            </w:tcMar>
            <w:hideMark/>
          </w:tcPr>
          <w:p w14:paraId="55936C08" w14:textId="77777777" w:rsidR="008E0C78" w:rsidRPr="008E0C78" w:rsidRDefault="008E0C78" w:rsidP="008E0C78">
            <w:r w:rsidRPr="008E0C78">
              <w:t>Strategic Authority (Mayor)</w:t>
            </w:r>
          </w:p>
        </w:tc>
      </w:tr>
      <w:tr w:rsidR="008E0C78" w:rsidRPr="008E0C78" w14:paraId="28AC1793" w14:textId="77777777" w:rsidTr="008E0C7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3DB64" w14:textId="77777777" w:rsidR="008E0C78" w:rsidRPr="008E0C78" w:rsidRDefault="008E0C78" w:rsidP="008E0C78">
            <w:pPr>
              <w:numPr>
                <w:ilvl w:val="0"/>
                <w:numId w:val="2"/>
              </w:numPr>
            </w:pPr>
            <w:r w:rsidRPr="008E0C78">
              <w:t>Education</w:t>
            </w:r>
          </w:p>
          <w:p w14:paraId="4C143BCE" w14:textId="77777777" w:rsidR="008E0C78" w:rsidRPr="008E0C78" w:rsidRDefault="008E0C78" w:rsidP="008E0C78">
            <w:pPr>
              <w:numPr>
                <w:ilvl w:val="0"/>
                <w:numId w:val="2"/>
              </w:numPr>
            </w:pPr>
            <w:r w:rsidRPr="008E0C78">
              <w:t>Local planning</w:t>
            </w:r>
          </w:p>
          <w:p w14:paraId="3F473BAE" w14:textId="77777777" w:rsidR="008E0C78" w:rsidRPr="008E0C78" w:rsidRDefault="008E0C78" w:rsidP="008E0C78">
            <w:pPr>
              <w:numPr>
                <w:ilvl w:val="0"/>
                <w:numId w:val="2"/>
              </w:numPr>
            </w:pPr>
            <w:r w:rsidRPr="008E0C78">
              <w:t>Social care</w:t>
            </w:r>
          </w:p>
          <w:p w14:paraId="2AC966FE" w14:textId="77777777" w:rsidR="008E0C78" w:rsidRPr="008E0C78" w:rsidRDefault="008E0C78" w:rsidP="008E0C78">
            <w:pPr>
              <w:numPr>
                <w:ilvl w:val="0"/>
                <w:numId w:val="2"/>
              </w:numPr>
            </w:pPr>
            <w:r w:rsidRPr="008E0C78">
              <w:t>Libraries</w:t>
            </w:r>
          </w:p>
          <w:p w14:paraId="0B80DD84" w14:textId="77777777" w:rsidR="008E0C78" w:rsidRPr="008E0C78" w:rsidRDefault="008E0C78" w:rsidP="008E0C78">
            <w:pPr>
              <w:numPr>
                <w:ilvl w:val="0"/>
                <w:numId w:val="2"/>
              </w:numPr>
            </w:pPr>
            <w:r w:rsidRPr="008E0C78">
              <w:t xml:space="preserve">Waste </w:t>
            </w:r>
          </w:p>
          <w:p w14:paraId="69BED01E" w14:textId="77777777" w:rsidR="008E0C78" w:rsidRPr="008E0C78" w:rsidRDefault="008E0C78" w:rsidP="008E0C78">
            <w:pPr>
              <w:numPr>
                <w:ilvl w:val="0"/>
                <w:numId w:val="2"/>
              </w:numPr>
            </w:pPr>
            <w:r w:rsidRPr="008E0C78">
              <w:t xml:space="preserve">Trading standards, </w:t>
            </w:r>
          </w:p>
          <w:p w14:paraId="5842ED75" w14:textId="77777777" w:rsidR="008E0C78" w:rsidRPr="008E0C78" w:rsidRDefault="008E0C78" w:rsidP="008E0C78">
            <w:pPr>
              <w:numPr>
                <w:ilvl w:val="0"/>
                <w:numId w:val="2"/>
              </w:numPr>
            </w:pPr>
            <w:r w:rsidRPr="008E0C78">
              <w:t>Council Tax collections</w:t>
            </w:r>
          </w:p>
          <w:p w14:paraId="1A9C8430" w14:textId="77777777" w:rsidR="008E0C78" w:rsidRPr="008E0C78" w:rsidRDefault="008E0C78" w:rsidP="008E0C78">
            <w:pPr>
              <w:numPr>
                <w:ilvl w:val="0"/>
                <w:numId w:val="2"/>
              </w:numPr>
            </w:pPr>
            <w:r w:rsidRPr="008E0C78">
              <w:t>Housing</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0187E162" w14:textId="77777777" w:rsidR="008E0C78" w:rsidRPr="008E0C78" w:rsidRDefault="008E0C78" w:rsidP="008E0C78">
            <w:pPr>
              <w:numPr>
                <w:ilvl w:val="0"/>
                <w:numId w:val="3"/>
              </w:numPr>
            </w:pPr>
            <w:r w:rsidRPr="008E0C78">
              <w:t>Strategic Planning</w:t>
            </w:r>
          </w:p>
          <w:p w14:paraId="54DE2C11" w14:textId="77777777" w:rsidR="008E0C78" w:rsidRPr="008E0C78" w:rsidRDefault="008E0C78" w:rsidP="008E0C78">
            <w:pPr>
              <w:numPr>
                <w:ilvl w:val="0"/>
                <w:numId w:val="3"/>
              </w:numPr>
            </w:pPr>
            <w:r w:rsidRPr="008E0C78">
              <w:t xml:space="preserve">Long-term investment funding </w:t>
            </w:r>
          </w:p>
          <w:p w14:paraId="6A4D5C3F" w14:textId="77777777" w:rsidR="008E0C78" w:rsidRPr="008E0C78" w:rsidRDefault="008E0C78" w:rsidP="008E0C78">
            <w:pPr>
              <w:numPr>
                <w:ilvl w:val="0"/>
                <w:numId w:val="3"/>
              </w:numPr>
            </w:pPr>
            <w:r w:rsidRPr="008E0C78">
              <w:t xml:space="preserve">Transport, including LTP (potentially including taxi licencing) </w:t>
            </w:r>
          </w:p>
          <w:p w14:paraId="34D8BA8C" w14:textId="77777777" w:rsidR="008E0C78" w:rsidRPr="008E0C78" w:rsidRDefault="008E0C78" w:rsidP="008E0C78">
            <w:pPr>
              <w:numPr>
                <w:ilvl w:val="0"/>
                <w:numId w:val="3"/>
              </w:numPr>
            </w:pPr>
            <w:r w:rsidRPr="008E0C78">
              <w:t xml:space="preserve">Skills convening </w:t>
            </w:r>
          </w:p>
          <w:p w14:paraId="797968A5" w14:textId="77777777" w:rsidR="008E0C78" w:rsidRPr="008E0C78" w:rsidRDefault="008E0C78" w:rsidP="008E0C78">
            <w:pPr>
              <w:numPr>
                <w:ilvl w:val="0"/>
                <w:numId w:val="3"/>
              </w:numPr>
            </w:pPr>
            <w:r w:rsidRPr="008E0C78">
              <w:t xml:space="preserve">Environmental convening </w:t>
            </w:r>
          </w:p>
          <w:p w14:paraId="41B06F56" w14:textId="77777777" w:rsidR="008E0C78" w:rsidRPr="008E0C78" w:rsidRDefault="008E0C78" w:rsidP="008E0C78">
            <w:pPr>
              <w:numPr>
                <w:ilvl w:val="0"/>
                <w:numId w:val="3"/>
              </w:numPr>
            </w:pPr>
            <w:r w:rsidRPr="008E0C78">
              <w:t xml:space="preserve">Public Safety (including the Police and Crime Commissioner (PCC) and Fire Authority) </w:t>
            </w:r>
          </w:p>
        </w:tc>
      </w:tr>
    </w:tbl>
    <w:p w14:paraId="6D113A5E" w14:textId="77777777" w:rsidR="008E0C78" w:rsidRPr="008E0C78" w:rsidRDefault="008E0C78" w:rsidP="008E0C78">
      <w:r w:rsidRPr="008E0C78">
        <w:t> </w:t>
      </w:r>
    </w:p>
    <w:p w14:paraId="48F90B6E" w14:textId="77777777" w:rsidR="008E0C78" w:rsidRPr="008E0C78" w:rsidRDefault="008E0C78" w:rsidP="008E0C78">
      <w:pPr>
        <w:numPr>
          <w:ilvl w:val="0"/>
          <w:numId w:val="1"/>
        </w:numPr>
      </w:pPr>
      <w:r w:rsidRPr="008E0C78">
        <w:lastRenderedPageBreak/>
        <w:t xml:space="preserve">The Government has provided limited commentary about what would happen to parishes in this context but has inferred they remain unaffected. </w:t>
      </w:r>
    </w:p>
    <w:p w14:paraId="1538485D" w14:textId="77777777" w:rsidR="008E0C78" w:rsidRPr="008E0C78" w:rsidRDefault="008E0C78" w:rsidP="008E0C78"/>
    <w:p w14:paraId="2B3CE39D" w14:textId="77777777" w:rsidR="008E0C78" w:rsidRPr="008E0C78" w:rsidRDefault="008E0C78" w:rsidP="008E0C78">
      <w:pPr>
        <w:rPr>
          <w:b/>
          <w:bCs/>
        </w:rPr>
      </w:pPr>
      <w:r w:rsidRPr="008E0C78">
        <w:rPr>
          <w:b/>
          <w:bCs/>
        </w:rPr>
        <w:t xml:space="preserve">Response in Breckland </w:t>
      </w:r>
    </w:p>
    <w:p w14:paraId="59F4D0FB" w14:textId="77777777" w:rsidR="008E0C78" w:rsidRPr="008E0C78" w:rsidRDefault="008E0C78" w:rsidP="008E0C78"/>
    <w:p w14:paraId="200209F2" w14:textId="77777777" w:rsidR="008E0C78" w:rsidRPr="008E0C78" w:rsidRDefault="008E0C78" w:rsidP="008E0C78">
      <w:pPr>
        <w:numPr>
          <w:ilvl w:val="0"/>
          <w:numId w:val="1"/>
        </w:numPr>
      </w:pPr>
      <w:r w:rsidRPr="008E0C78">
        <w:t xml:space="preserve">The clear approach to date has been to support the benefit of actual devolution (if done properly), but to challenge the principle and rationale of Local Government Re-organisation. Particularly to defend the record and effectiveness of Breckland and the Two-Tier model in places like Norfolk. </w:t>
      </w:r>
    </w:p>
    <w:p w14:paraId="09445DD0" w14:textId="77777777" w:rsidR="008E0C78" w:rsidRPr="008E0C78" w:rsidRDefault="008E0C78" w:rsidP="008E0C78"/>
    <w:p w14:paraId="1ECFA053" w14:textId="77777777" w:rsidR="008E0C78" w:rsidRPr="008E0C78" w:rsidRDefault="008E0C78" w:rsidP="008E0C78">
      <w:pPr>
        <w:numPr>
          <w:ilvl w:val="0"/>
          <w:numId w:val="1"/>
        </w:numPr>
      </w:pPr>
      <w:r w:rsidRPr="008E0C78">
        <w:t xml:space="preserve">Accepting that this is now Government policy there is a recognition that work needs to be done to engage, but this is being done on the basis there is no other choice. Unlike previous proposals for LGR, the Government is imposing this from Westminster. </w:t>
      </w:r>
    </w:p>
    <w:p w14:paraId="1E4646A1" w14:textId="77777777" w:rsidR="008E0C78" w:rsidRPr="008E0C78" w:rsidRDefault="008E0C78" w:rsidP="008E0C78"/>
    <w:p w14:paraId="091043FE" w14:textId="77777777" w:rsidR="008E0C78" w:rsidRPr="008E0C78" w:rsidRDefault="008E0C78" w:rsidP="008E0C78">
      <w:pPr>
        <w:numPr>
          <w:ilvl w:val="0"/>
          <w:numId w:val="1"/>
        </w:numPr>
      </w:pPr>
      <w:r w:rsidRPr="008E0C78">
        <w:t>Working with partners Councils, Breckland has commissioned Deloitte to help develop an evidence base and options appraisal to inform the position locally. This will be dated at Council on 20</w:t>
      </w:r>
      <w:r w:rsidRPr="008E0C78">
        <w:rPr>
          <w:vertAlign w:val="superscript"/>
        </w:rPr>
        <w:t>th</w:t>
      </w:r>
      <w:r w:rsidRPr="008E0C78">
        <w:t xml:space="preserve"> March and indicates the strong benefit of a three-unitary solution for Norfolk (and inherent weakness in a single unitary solution). </w:t>
      </w:r>
    </w:p>
    <w:p w14:paraId="500D0EE9" w14:textId="77777777" w:rsidR="008E0C78" w:rsidRPr="008E0C78" w:rsidRDefault="008E0C78" w:rsidP="008E0C78"/>
    <w:p w14:paraId="2001DDDC" w14:textId="77777777" w:rsidR="008E0C78" w:rsidRPr="008E0C78" w:rsidRDefault="008E0C78" w:rsidP="008E0C78">
      <w:pPr>
        <w:rPr>
          <w:b/>
          <w:bCs/>
        </w:rPr>
      </w:pPr>
      <w:r w:rsidRPr="008E0C78">
        <w:rPr>
          <w:b/>
          <w:bCs/>
        </w:rPr>
        <w:t xml:space="preserve">Status in Breckland and Norfolk (and Suffolk) </w:t>
      </w:r>
    </w:p>
    <w:p w14:paraId="02A8F2E7" w14:textId="77777777" w:rsidR="008E0C78" w:rsidRPr="008E0C78" w:rsidRDefault="008E0C78" w:rsidP="008E0C78"/>
    <w:p w14:paraId="267B4151" w14:textId="77777777" w:rsidR="008E0C78" w:rsidRPr="008E0C78" w:rsidRDefault="008E0C78" w:rsidP="008E0C78">
      <w:pPr>
        <w:numPr>
          <w:ilvl w:val="0"/>
          <w:numId w:val="1"/>
        </w:numPr>
      </w:pPr>
      <w:r w:rsidRPr="008E0C78">
        <w:t xml:space="preserve">Unlike previous iterations (from the last Conservative Government), the current Labour Government is not seeking to make the policies optional, deal based or provide any authorities with a choice. The vision is one of a rolling programme of change to cover the entire country in as short a time as possible.  </w:t>
      </w:r>
    </w:p>
    <w:p w14:paraId="61857926" w14:textId="77777777" w:rsidR="008E0C78" w:rsidRPr="008E0C78" w:rsidRDefault="008E0C78" w:rsidP="008E0C78"/>
    <w:p w14:paraId="5885848A" w14:textId="77777777" w:rsidR="008E0C78" w:rsidRPr="008E0C78" w:rsidRDefault="008E0C78" w:rsidP="008E0C78">
      <w:pPr>
        <w:rPr>
          <w:b/>
          <w:bCs/>
        </w:rPr>
      </w:pPr>
      <w:r w:rsidRPr="008E0C78">
        <w:rPr>
          <w:b/>
          <w:bCs/>
        </w:rPr>
        <w:t xml:space="preserve">Potential Timetable </w:t>
      </w:r>
    </w:p>
    <w:p w14:paraId="153A84E4" w14:textId="77777777" w:rsidR="008E0C78" w:rsidRPr="008E0C78" w:rsidRDefault="008E0C78" w:rsidP="008E0C78"/>
    <w:p w14:paraId="0108E1BE" w14:textId="77777777" w:rsidR="008E0C78" w:rsidRPr="008E0C78" w:rsidRDefault="008E0C78" w:rsidP="008E0C78">
      <w:pPr>
        <w:numPr>
          <w:ilvl w:val="0"/>
          <w:numId w:val="4"/>
        </w:numPr>
      </w:pPr>
      <w:r w:rsidRPr="008E0C78">
        <w:t xml:space="preserve">The LGR and “Devolution” Timetable is subject to considerable potential change. Whilst the Government has stated indicative milestones, much of this requires further legislation and significant activity to enable. </w:t>
      </w:r>
      <w:proofErr w:type="gramStart"/>
      <w:r w:rsidRPr="008E0C78">
        <w:t>However</w:t>
      </w:r>
      <w:proofErr w:type="gramEnd"/>
      <w:r w:rsidRPr="008E0C78">
        <w:t xml:space="preserve"> the current understanding is for Norfolk / Breckland (for both devolution and LGR):</w:t>
      </w:r>
    </w:p>
    <w:p w14:paraId="4CC8F15E" w14:textId="77777777" w:rsidR="008E0C78" w:rsidRPr="008E0C78" w:rsidRDefault="008E0C78" w:rsidP="008E0C78"/>
    <w:tbl>
      <w:tblPr>
        <w:tblW w:w="5000" w:type="pct"/>
        <w:tblCellMar>
          <w:left w:w="0" w:type="dxa"/>
          <w:right w:w="0" w:type="dxa"/>
        </w:tblCellMar>
        <w:tblLook w:val="04A0" w:firstRow="1" w:lastRow="0" w:firstColumn="1" w:lastColumn="0" w:noHBand="0" w:noVBand="1"/>
      </w:tblPr>
      <w:tblGrid>
        <w:gridCol w:w="279"/>
        <w:gridCol w:w="8727"/>
      </w:tblGrid>
      <w:tr w:rsidR="008E0C78" w:rsidRPr="008E0C78" w14:paraId="1D0A7C9B" w14:textId="77777777" w:rsidTr="008E0C78">
        <w:tc>
          <w:tcPr>
            <w:tcW w:w="155" w:type="pct"/>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tcPr>
          <w:p w14:paraId="53E07798" w14:textId="77777777" w:rsidR="008E0C78" w:rsidRPr="008E0C78" w:rsidRDefault="008E0C78" w:rsidP="008E0C78"/>
        </w:tc>
        <w:tc>
          <w:tcPr>
            <w:tcW w:w="48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58DC5B" w14:textId="77777777" w:rsidR="008E0C78" w:rsidRPr="008E0C78" w:rsidRDefault="008E0C78" w:rsidP="008E0C78">
            <w:r w:rsidRPr="008E0C78">
              <w:rPr>
                <w:b/>
                <w:bCs/>
              </w:rPr>
              <w:t>March 21</w:t>
            </w:r>
            <w:r w:rsidRPr="008E0C78">
              <w:rPr>
                <w:b/>
                <w:bCs/>
                <w:vertAlign w:val="superscript"/>
              </w:rPr>
              <w:t>st</w:t>
            </w:r>
            <w:proofErr w:type="gramStart"/>
            <w:r w:rsidRPr="008E0C78">
              <w:rPr>
                <w:b/>
                <w:bCs/>
              </w:rPr>
              <w:t xml:space="preserve"> 2025</w:t>
            </w:r>
            <w:proofErr w:type="gramEnd"/>
            <w:r w:rsidRPr="008E0C78">
              <w:t xml:space="preserve"> – All 2-Tier authorities submit “interim plans” </w:t>
            </w:r>
          </w:p>
        </w:tc>
      </w:tr>
      <w:tr w:rsidR="008E0C78" w:rsidRPr="008E0C78" w14:paraId="2A4D5D6C" w14:textId="77777777" w:rsidTr="008E0C78">
        <w:tc>
          <w:tcPr>
            <w:tcW w:w="155" w:type="pct"/>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tcPr>
          <w:p w14:paraId="365B0F37" w14:textId="77777777" w:rsidR="008E0C78" w:rsidRPr="008E0C78" w:rsidRDefault="008E0C78" w:rsidP="008E0C78"/>
        </w:tc>
        <w:tc>
          <w:tcPr>
            <w:tcW w:w="4845" w:type="pct"/>
            <w:tcBorders>
              <w:top w:val="nil"/>
              <w:left w:val="nil"/>
              <w:bottom w:val="single" w:sz="8" w:space="0" w:color="auto"/>
              <w:right w:val="single" w:sz="8" w:space="0" w:color="auto"/>
            </w:tcBorders>
            <w:tcMar>
              <w:top w:w="0" w:type="dxa"/>
              <w:left w:w="108" w:type="dxa"/>
              <w:bottom w:w="0" w:type="dxa"/>
              <w:right w:w="108" w:type="dxa"/>
            </w:tcMar>
            <w:hideMark/>
          </w:tcPr>
          <w:p w14:paraId="5E6380B4" w14:textId="77777777" w:rsidR="008E0C78" w:rsidRPr="008E0C78" w:rsidRDefault="008E0C78" w:rsidP="008E0C78">
            <w:r w:rsidRPr="008E0C78">
              <w:rPr>
                <w:b/>
                <w:bCs/>
              </w:rPr>
              <w:t>Sept 26</w:t>
            </w:r>
            <w:r w:rsidRPr="008E0C78">
              <w:rPr>
                <w:b/>
                <w:bCs/>
                <w:vertAlign w:val="superscript"/>
              </w:rPr>
              <w:t>th</w:t>
            </w:r>
            <w:proofErr w:type="gramStart"/>
            <w:r w:rsidRPr="008E0C78">
              <w:rPr>
                <w:b/>
                <w:bCs/>
              </w:rPr>
              <w:t xml:space="preserve"> 2025</w:t>
            </w:r>
            <w:proofErr w:type="gramEnd"/>
            <w:r w:rsidRPr="008E0C78">
              <w:t xml:space="preserve"> – Final LGR proposals submitted to Government for Norfolk </w:t>
            </w:r>
          </w:p>
        </w:tc>
      </w:tr>
      <w:tr w:rsidR="008E0C78" w:rsidRPr="008E0C78" w14:paraId="30E18F68" w14:textId="77777777" w:rsidTr="008E0C78">
        <w:tc>
          <w:tcPr>
            <w:tcW w:w="155" w:type="pct"/>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tcPr>
          <w:p w14:paraId="7505BE84" w14:textId="77777777" w:rsidR="008E0C78" w:rsidRPr="008E0C78" w:rsidRDefault="008E0C78" w:rsidP="008E0C78"/>
        </w:tc>
        <w:tc>
          <w:tcPr>
            <w:tcW w:w="4845" w:type="pct"/>
            <w:tcBorders>
              <w:top w:val="nil"/>
              <w:left w:val="nil"/>
              <w:bottom w:val="single" w:sz="8" w:space="0" w:color="auto"/>
              <w:right w:val="single" w:sz="8" w:space="0" w:color="auto"/>
            </w:tcBorders>
            <w:tcMar>
              <w:top w:w="0" w:type="dxa"/>
              <w:left w:w="108" w:type="dxa"/>
              <w:bottom w:w="0" w:type="dxa"/>
              <w:right w:w="108" w:type="dxa"/>
            </w:tcMar>
            <w:hideMark/>
          </w:tcPr>
          <w:p w14:paraId="786AB653" w14:textId="77777777" w:rsidR="008E0C78" w:rsidRPr="008E0C78" w:rsidRDefault="008E0C78" w:rsidP="008E0C78">
            <w:r w:rsidRPr="008E0C78">
              <w:rPr>
                <w:b/>
                <w:bCs/>
              </w:rPr>
              <w:t xml:space="preserve">Early 2026 </w:t>
            </w:r>
            <w:r w:rsidRPr="008E0C78">
              <w:t>– Government plans to make decisions on LGR proposals</w:t>
            </w:r>
          </w:p>
        </w:tc>
      </w:tr>
      <w:tr w:rsidR="008E0C78" w:rsidRPr="008E0C78" w14:paraId="373FE81C" w14:textId="77777777" w:rsidTr="008E0C78">
        <w:tc>
          <w:tcPr>
            <w:tcW w:w="155" w:type="pct"/>
            <w:tcBorders>
              <w:top w:val="nil"/>
              <w:left w:val="single" w:sz="8" w:space="0" w:color="auto"/>
              <w:bottom w:val="single" w:sz="8" w:space="0" w:color="auto"/>
              <w:right w:val="single" w:sz="8" w:space="0" w:color="auto"/>
            </w:tcBorders>
            <w:shd w:val="clear" w:color="auto" w:fill="156082"/>
            <w:tcMar>
              <w:top w:w="0" w:type="dxa"/>
              <w:left w:w="108" w:type="dxa"/>
              <w:bottom w:w="0" w:type="dxa"/>
              <w:right w:w="108" w:type="dxa"/>
            </w:tcMar>
          </w:tcPr>
          <w:p w14:paraId="584748FE" w14:textId="77777777" w:rsidR="008E0C78" w:rsidRPr="008E0C78" w:rsidRDefault="008E0C78" w:rsidP="008E0C78"/>
        </w:tc>
        <w:tc>
          <w:tcPr>
            <w:tcW w:w="4845" w:type="pct"/>
            <w:tcBorders>
              <w:top w:val="nil"/>
              <w:left w:val="nil"/>
              <w:bottom w:val="single" w:sz="8" w:space="0" w:color="auto"/>
              <w:right w:val="single" w:sz="8" w:space="0" w:color="auto"/>
            </w:tcBorders>
            <w:tcMar>
              <w:top w:w="0" w:type="dxa"/>
              <w:left w:w="108" w:type="dxa"/>
              <w:bottom w:w="0" w:type="dxa"/>
              <w:right w:w="108" w:type="dxa"/>
            </w:tcMar>
            <w:hideMark/>
          </w:tcPr>
          <w:p w14:paraId="41C82BAA" w14:textId="77777777" w:rsidR="008E0C78" w:rsidRPr="008E0C78" w:rsidRDefault="008E0C78" w:rsidP="008E0C78">
            <w:r w:rsidRPr="008E0C78">
              <w:rPr>
                <w:b/>
                <w:bCs/>
              </w:rPr>
              <w:t>May 2026</w:t>
            </w:r>
            <w:r w:rsidRPr="008E0C78">
              <w:t xml:space="preserve"> – Potential Norfolk/Suffolk Mayoral Election and County Council elections   </w:t>
            </w:r>
          </w:p>
        </w:tc>
      </w:tr>
      <w:tr w:rsidR="008E0C78" w:rsidRPr="008E0C78" w14:paraId="3253A434" w14:textId="77777777" w:rsidTr="008E0C78">
        <w:tc>
          <w:tcPr>
            <w:tcW w:w="155" w:type="pct"/>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tcPr>
          <w:p w14:paraId="29B83B5C" w14:textId="77777777" w:rsidR="008E0C78" w:rsidRPr="008E0C78" w:rsidRDefault="008E0C78" w:rsidP="008E0C78"/>
        </w:tc>
        <w:tc>
          <w:tcPr>
            <w:tcW w:w="4845" w:type="pct"/>
            <w:tcBorders>
              <w:top w:val="nil"/>
              <w:left w:val="nil"/>
              <w:bottom w:val="single" w:sz="8" w:space="0" w:color="auto"/>
              <w:right w:val="single" w:sz="8" w:space="0" w:color="auto"/>
            </w:tcBorders>
            <w:tcMar>
              <w:top w:w="0" w:type="dxa"/>
              <w:left w:w="108" w:type="dxa"/>
              <w:bottom w:w="0" w:type="dxa"/>
              <w:right w:w="108" w:type="dxa"/>
            </w:tcMar>
            <w:hideMark/>
          </w:tcPr>
          <w:p w14:paraId="1BCA1350" w14:textId="77777777" w:rsidR="008E0C78" w:rsidRPr="008E0C78" w:rsidRDefault="008E0C78" w:rsidP="008E0C78">
            <w:r w:rsidRPr="008E0C78">
              <w:rPr>
                <w:b/>
                <w:bCs/>
              </w:rPr>
              <w:t>Summer 2026</w:t>
            </w:r>
            <w:r w:rsidRPr="008E0C78">
              <w:t xml:space="preserve">- Government plans to lay LGR legislation </w:t>
            </w:r>
          </w:p>
        </w:tc>
      </w:tr>
      <w:tr w:rsidR="008E0C78" w:rsidRPr="008E0C78" w14:paraId="2C51F391" w14:textId="77777777" w:rsidTr="008E0C78">
        <w:tc>
          <w:tcPr>
            <w:tcW w:w="155" w:type="pct"/>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tcPr>
          <w:p w14:paraId="4DCF24F3" w14:textId="77777777" w:rsidR="008E0C78" w:rsidRPr="008E0C78" w:rsidRDefault="008E0C78" w:rsidP="008E0C78"/>
        </w:tc>
        <w:tc>
          <w:tcPr>
            <w:tcW w:w="4845" w:type="pct"/>
            <w:tcBorders>
              <w:top w:val="nil"/>
              <w:left w:val="nil"/>
              <w:bottom w:val="single" w:sz="8" w:space="0" w:color="auto"/>
              <w:right w:val="single" w:sz="8" w:space="0" w:color="auto"/>
            </w:tcBorders>
            <w:tcMar>
              <w:top w:w="0" w:type="dxa"/>
              <w:left w:w="108" w:type="dxa"/>
              <w:bottom w:w="0" w:type="dxa"/>
              <w:right w:w="108" w:type="dxa"/>
            </w:tcMar>
            <w:hideMark/>
          </w:tcPr>
          <w:p w14:paraId="1EC951C0" w14:textId="77777777" w:rsidR="008E0C78" w:rsidRPr="008E0C78" w:rsidRDefault="008E0C78" w:rsidP="008E0C78">
            <w:r w:rsidRPr="008E0C78">
              <w:rPr>
                <w:b/>
                <w:bCs/>
              </w:rPr>
              <w:t>May 2027</w:t>
            </w:r>
            <w:r w:rsidRPr="008E0C78">
              <w:t xml:space="preserve"> - Shadow Unitary Elections </w:t>
            </w:r>
          </w:p>
        </w:tc>
      </w:tr>
      <w:tr w:rsidR="008E0C78" w:rsidRPr="008E0C78" w14:paraId="7481CED3" w14:textId="77777777" w:rsidTr="008E0C78">
        <w:tc>
          <w:tcPr>
            <w:tcW w:w="155" w:type="pct"/>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tcPr>
          <w:p w14:paraId="5EF9B9B8" w14:textId="77777777" w:rsidR="008E0C78" w:rsidRPr="008E0C78" w:rsidRDefault="008E0C78" w:rsidP="008E0C78"/>
        </w:tc>
        <w:tc>
          <w:tcPr>
            <w:tcW w:w="4845" w:type="pct"/>
            <w:tcBorders>
              <w:top w:val="nil"/>
              <w:left w:val="nil"/>
              <w:bottom w:val="single" w:sz="8" w:space="0" w:color="auto"/>
              <w:right w:val="single" w:sz="8" w:space="0" w:color="auto"/>
            </w:tcBorders>
            <w:tcMar>
              <w:top w:w="0" w:type="dxa"/>
              <w:left w:w="108" w:type="dxa"/>
              <w:bottom w:w="0" w:type="dxa"/>
              <w:right w:w="108" w:type="dxa"/>
            </w:tcMar>
            <w:hideMark/>
          </w:tcPr>
          <w:p w14:paraId="2D56C2F4" w14:textId="77777777" w:rsidR="008E0C78" w:rsidRPr="008E0C78" w:rsidRDefault="008E0C78" w:rsidP="008E0C78">
            <w:pPr>
              <w:rPr>
                <w:b/>
                <w:bCs/>
              </w:rPr>
            </w:pPr>
            <w:r w:rsidRPr="008E0C78">
              <w:rPr>
                <w:b/>
                <w:bCs/>
              </w:rPr>
              <w:t>April 2028</w:t>
            </w:r>
            <w:r w:rsidRPr="008E0C78">
              <w:t xml:space="preserve"> - New Unitary Go Live</w:t>
            </w:r>
          </w:p>
        </w:tc>
      </w:tr>
    </w:tbl>
    <w:p w14:paraId="32E859BB" w14:textId="77777777" w:rsidR="008E0C78" w:rsidRPr="008E0C78" w:rsidRDefault="008E0C78" w:rsidP="008E0C78"/>
    <w:p w14:paraId="16C73620" w14:textId="77777777" w:rsidR="008E0C78" w:rsidRPr="008E0C78" w:rsidRDefault="008E0C78" w:rsidP="008E0C78">
      <w:pPr>
        <w:numPr>
          <w:ilvl w:val="0"/>
          <w:numId w:val="5"/>
        </w:numPr>
      </w:pPr>
      <w:r w:rsidRPr="008E0C78">
        <w:t xml:space="preserve">At some point restrictions will be applied to all predecessor authorities, i.e. the District and County Councils, preventing them from taking new decisions </w:t>
      </w:r>
    </w:p>
    <w:p w14:paraId="73741F45" w14:textId="77777777" w:rsidR="008E0C78" w:rsidRPr="008E0C78" w:rsidRDefault="008E0C78" w:rsidP="008E0C78">
      <w:pPr>
        <w:numPr>
          <w:ilvl w:val="0"/>
          <w:numId w:val="5"/>
        </w:numPr>
      </w:pPr>
      <w:r w:rsidRPr="008E0C78">
        <w:t xml:space="preserve">From May 2027 to April 2028 there will be a transition year, whilst both the new and old Councils co-exist with Members and officers supporting transition </w:t>
      </w:r>
    </w:p>
    <w:p w14:paraId="5F96679A" w14:textId="77777777" w:rsidR="007073EB" w:rsidRDefault="007073EB"/>
    <w:sectPr w:rsidR="00707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59F"/>
    <w:multiLevelType w:val="hybridMultilevel"/>
    <w:tmpl w:val="EE5A98A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2D126DF"/>
    <w:multiLevelType w:val="hybridMultilevel"/>
    <w:tmpl w:val="901E62E0"/>
    <w:lvl w:ilvl="0" w:tplc="908274C8">
      <w:start w:val="2"/>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48A14B2"/>
    <w:multiLevelType w:val="hybridMultilevel"/>
    <w:tmpl w:val="4166373C"/>
    <w:lvl w:ilvl="0" w:tplc="A37C567C">
      <w:start w:val="1"/>
      <w:numFmt w:val="bullet"/>
      <w:lvlText w:val=""/>
      <w:lvlJc w:val="left"/>
      <w:pPr>
        <w:ind w:left="360" w:hanging="360"/>
      </w:pPr>
      <w:rPr>
        <w:rFonts w:ascii="Wingdings" w:hAnsi="Wingdings" w:hint="default"/>
        <w:color w:val="00816D"/>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506F0389"/>
    <w:multiLevelType w:val="hybridMultilevel"/>
    <w:tmpl w:val="8BACEBE6"/>
    <w:lvl w:ilvl="0" w:tplc="F33CF4E2">
      <w:start w:val="2"/>
      <w:numFmt w:val="bullet"/>
      <w:lvlText w:val=""/>
      <w:lvlJc w:val="left"/>
      <w:pPr>
        <w:ind w:left="360" w:hanging="360"/>
      </w:pPr>
      <w:rPr>
        <w:rFonts w:ascii="Symbol" w:eastAsia="Times New Roman" w:hAnsi="Symbo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6EC66556"/>
    <w:multiLevelType w:val="hybridMultilevel"/>
    <w:tmpl w:val="0CF4443A"/>
    <w:lvl w:ilvl="0" w:tplc="08090001">
      <w:start w:val="1"/>
      <w:numFmt w:val="bullet"/>
      <w:lvlText w:val=""/>
      <w:lvlJc w:val="left"/>
      <w:pPr>
        <w:ind w:left="360" w:hanging="360"/>
      </w:pPr>
      <w:rPr>
        <w:rFonts w:ascii="Symbol" w:hAnsi="Symbol" w:hint="default"/>
        <w:color w:val="00816D"/>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489250703">
    <w:abstractNumId w:val="2"/>
    <w:lvlOverride w:ilvl="0"/>
    <w:lvlOverride w:ilvl="1"/>
    <w:lvlOverride w:ilvl="2"/>
    <w:lvlOverride w:ilvl="3"/>
    <w:lvlOverride w:ilvl="4"/>
    <w:lvlOverride w:ilvl="5"/>
    <w:lvlOverride w:ilvl="6"/>
    <w:lvlOverride w:ilvl="7"/>
    <w:lvlOverride w:ilvl="8"/>
  </w:num>
  <w:num w:numId="2" w16cid:durableId="2025547863">
    <w:abstractNumId w:val="3"/>
    <w:lvlOverride w:ilvl="0"/>
    <w:lvlOverride w:ilvl="1"/>
    <w:lvlOverride w:ilvl="2"/>
    <w:lvlOverride w:ilvl="3"/>
    <w:lvlOverride w:ilvl="4"/>
    <w:lvlOverride w:ilvl="5"/>
    <w:lvlOverride w:ilvl="6"/>
    <w:lvlOverride w:ilvl="7"/>
    <w:lvlOverride w:ilvl="8"/>
  </w:num>
  <w:num w:numId="3" w16cid:durableId="100687805">
    <w:abstractNumId w:val="0"/>
    <w:lvlOverride w:ilvl="0"/>
    <w:lvlOverride w:ilvl="1"/>
    <w:lvlOverride w:ilvl="2"/>
    <w:lvlOverride w:ilvl="3"/>
    <w:lvlOverride w:ilvl="4"/>
    <w:lvlOverride w:ilvl="5"/>
    <w:lvlOverride w:ilvl="6"/>
    <w:lvlOverride w:ilvl="7"/>
    <w:lvlOverride w:ilvl="8"/>
  </w:num>
  <w:num w:numId="4" w16cid:durableId="1075201320">
    <w:abstractNumId w:val="4"/>
    <w:lvlOverride w:ilvl="0"/>
    <w:lvlOverride w:ilvl="1"/>
    <w:lvlOverride w:ilvl="2"/>
    <w:lvlOverride w:ilvl="3"/>
    <w:lvlOverride w:ilvl="4"/>
    <w:lvlOverride w:ilvl="5"/>
    <w:lvlOverride w:ilvl="6"/>
    <w:lvlOverride w:ilvl="7"/>
    <w:lvlOverride w:ilvl="8"/>
  </w:num>
  <w:num w:numId="5" w16cid:durableId="55531909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78"/>
    <w:rsid w:val="007073EB"/>
    <w:rsid w:val="008E0C78"/>
    <w:rsid w:val="00D74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5CB5"/>
  <w15:chartTrackingRefBased/>
  <w15:docId w15:val="{0EA34AE9-067D-435E-AECF-D3E8FEA1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C78"/>
    <w:rPr>
      <w:rFonts w:eastAsiaTheme="majorEastAsia" w:cstheme="majorBidi"/>
      <w:color w:val="272727" w:themeColor="text1" w:themeTint="D8"/>
    </w:rPr>
  </w:style>
  <w:style w:type="paragraph" w:styleId="Title">
    <w:name w:val="Title"/>
    <w:basedOn w:val="Normal"/>
    <w:next w:val="Normal"/>
    <w:link w:val="TitleChar"/>
    <w:uiPriority w:val="10"/>
    <w:qFormat/>
    <w:rsid w:val="008E0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C78"/>
    <w:pPr>
      <w:spacing w:before="160"/>
      <w:jc w:val="center"/>
    </w:pPr>
    <w:rPr>
      <w:i/>
      <w:iCs/>
      <w:color w:val="404040" w:themeColor="text1" w:themeTint="BF"/>
    </w:rPr>
  </w:style>
  <w:style w:type="character" w:customStyle="1" w:styleId="QuoteChar">
    <w:name w:val="Quote Char"/>
    <w:basedOn w:val="DefaultParagraphFont"/>
    <w:link w:val="Quote"/>
    <w:uiPriority w:val="29"/>
    <w:rsid w:val="008E0C78"/>
    <w:rPr>
      <w:i/>
      <w:iCs/>
      <w:color w:val="404040" w:themeColor="text1" w:themeTint="BF"/>
    </w:rPr>
  </w:style>
  <w:style w:type="paragraph" w:styleId="ListParagraph">
    <w:name w:val="List Paragraph"/>
    <w:basedOn w:val="Normal"/>
    <w:uiPriority w:val="34"/>
    <w:qFormat/>
    <w:rsid w:val="008E0C78"/>
    <w:pPr>
      <w:ind w:left="720"/>
      <w:contextualSpacing/>
    </w:pPr>
  </w:style>
  <w:style w:type="character" w:styleId="IntenseEmphasis">
    <w:name w:val="Intense Emphasis"/>
    <w:basedOn w:val="DefaultParagraphFont"/>
    <w:uiPriority w:val="21"/>
    <w:qFormat/>
    <w:rsid w:val="008E0C78"/>
    <w:rPr>
      <w:i/>
      <w:iCs/>
      <w:color w:val="0F4761" w:themeColor="accent1" w:themeShade="BF"/>
    </w:rPr>
  </w:style>
  <w:style w:type="paragraph" w:styleId="IntenseQuote">
    <w:name w:val="Intense Quote"/>
    <w:basedOn w:val="Normal"/>
    <w:next w:val="Normal"/>
    <w:link w:val="IntenseQuoteChar"/>
    <w:uiPriority w:val="30"/>
    <w:qFormat/>
    <w:rsid w:val="008E0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C78"/>
    <w:rPr>
      <w:i/>
      <w:iCs/>
      <w:color w:val="0F4761" w:themeColor="accent1" w:themeShade="BF"/>
    </w:rPr>
  </w:style>
  <w:style w:type="character" w:styleId="IntenseReference">
    <w:name w:val="Intense Reference"/>
    <w:basedOn w:val="DefaultParagraphFont"/>
    <w:uiPriority w:val="32"/>
    <w:qFormat/>
    <w:rsid w:val="008E0C78"/>
    <w:rPr>
      <w:b/>
      <w:bCs/>
      <w:smallCaps/>
      <w:color w:val="0F4761" w:themeColor="accent1" w:themeShade="BF"/>
      <w:spacing w:val="5"/>
    </w:rPr>
  </w:style>
  <w:style w:type="character" w:styleId="Hyperlink">
    <w:name w:val="Hyperlink"/>
    <w:basedOn w:val="DefaultParagraphFont"/>
    <w:uiPriority w:val="99"/>
    <w:unhideWhenUsed/>
    <w:rsid w:val="008E0C78"/>
    <w:rPr>
      <w:color w:val="467886" w:themeColor="hyperlink"/>
      <w:u w:val="single"/>
    </w:rPr>
  </w:style>
  <w:style w:type="character" w:styleId="UnresolvedMention">
    <w:name w:val="Unresolved Mention"/>
    <w:basedOn w:val="DefaultParagraphFont"/>
    <w:uiPriority w:val="99"/>
    <w:semiHidden/>
    <w:unhideWhenUsed/>
    <w:rsid w:val="008E0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8005">
      <w:bodyDiv w:val="1"/>
      <w:marLeft w:val="0"/>
      <w:marRight w:val="0"/>
      <w:marTop w:val="0"/>
      <w:marBottom w:val="0"/>
      <w:divBdr>
        <w:top w:val="none" w:sz="0" w:space="0" w:color="auto"/>
        <w:left w:val="none" w:sz="0" w:space="0" w:color="auto"/>
        <w:bottom w:val="none" w:sz="0" w:space="0" w:color="auto"/>
        <w:right w:val="none" w:sz="0" w:space="0" w:color="auto"/>
      </w:divBdr>
    </w:div>
    <w:div w:id="111131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english-devolution-white-paper-power-and-partnership-foundations-for-growth/english-devolution-white-pap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Thornton</dc:creator>
  <cp:keywords/>
  <dc:description/>
  <cp:lastModifiedBy>Angela Thornton</cp:lastModifiedBy>
  <cp:revision>1</cp:revision>
  <dcterms:created xsi:type="dcterms:W3CDTF">2025-03-20T10:33:00Z</dcterms:created>
  <dcterms:modified xsi:type="dcterms:W3CDTF">2025-03-20T10:35:00Z</dcterms:modified>
</cp:coreProperties>
</file>